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6E" w:rsidRDefault="0026326A">
      <w:pPr>
        <w:spacing w:before="1680"/>
        <w:jc w:val="center"/>
        <w:rPr>
          <w:sz w:val="28"/>
          <w:szCs w:val="28"/>
          <w:u w:val="double"/>
        </w:rPr>
      </w:pPr>
      <w:r>
        <w:rPr>
          <w:sz w:val="28"/>
          <w:szCs w:val="28"/>
          <w:u w:val="double"/>
        </w:rPr>
        <w:t>_________________________________________________________________</w:t>
      </w:r>
    </w:p>
    <w:p w:rsidR="00932C6E" w:rsidRDefault="00932C6E">
      <w:pPr>
        <w:spacing w:after="0"/>
        <w:jc w:val="center"/>
        <w:rPr>
          <w:b/>
          <w:sz w:val="28"/>
          <w:szCs w:val="28"/>
        </w:rPr>
      </w:pPr>
    </w:p>
    <w:p w:rsidR="00932C6E" w:rsidRDefault="0026326A">
      <w:pPr>
        <w:spacing w:after="0"/>
        <w:jc w:val="center"/>
        <w:rPr>
          <w:b/>
          <w:sz w:val="28"/>
          <w:szCs w:val="28"/>
        </w:rPr>
      </w:pPr>
      <w:r>
        <w:rPr>
          <w:b/>
          <w:sz w:val="28"/>
          <w:szCs w:val="28"/>
        </w:rPr>
        <w:t>COMMERCIAL LEASING</w:t>
      </w:r>
      <w:r>
        <w:rPr>
          <w:b/>
          <w:sz w:val="28"/>
          <w:szCs w:val="28"/>
        </w:rPr>
        <w:br/>
      </w:r>
    </w:p>
    <w:p w:rsidR="00932C6E" w:rsidRDefault="0026326A">
      <w:pPr>
        <w:spacing w:after="0"/>
        <w:jc w:val="center"/>
        <w:rPr>
          <w:u w:val="double"/>
        </w:rPr>
      </w:pPr>
      <w:r>
        <w:rPr>
          <w:b/>
          <w:sz w:val="28"/>
          <w:szCs w:val="28"/>
        </w:rPr>
        <w:br/>
      </w:r>
      <w:r>
        <w:rPr>
          <w:b/>
        </w:rPr>
        <w:t>COLUMBIA UNIVERSITY</w:t>
      </w:r>
      <w:r>
        <w:rPr>
          <w:b/>
        </w:rPr>
        <w:br/>
        <w:t xml:space="preserve">Course No. PLA </w:t>
      </w:r>
      <w:proofErr w:type="spellStart"/>
      <w:r>
        <w:rPr>
          <w:b/>
        </w:rPr>
        <w:t>A6375</w:t>
      </w:r>
      <w:proofErr w:type="spellEnd"/>
      <w:r>
        <w:rPr>
          <w:b/>
        </w:rPr>
        <w:t xml:space="preserve"> </w:t>
      </w:r>
      <w:r>
        <w:rPr>
          <w:b/>
        </w:rPr>
        <w:br/>
      </w:r>
      <w:r>
        <w:rPr>
          <w:b/>
          <w:sz w:val="28"/>
          <w:szCs w:val="28"/>
        </w:rPr>
        <w:br/>
      </w:r>
      <w:r>
        <w:rPr>
          <w:b/>
        </w:rPr>
        <w:br/>
      </w:r>
      <w:r>
        <w:rPr>
          <w:b/>
        </w:rPr>
        <w:br/>
        <w:t>PROFESSORS</w:t>
      </w:r>
      <w:r>
        <w:rPr>
          <w:b/>
        </w:rPr>
        <w:br/>
        <w:t>MARTIN E. GOLD AND MITCHELL NELSON</w:t>
      </w:r>
      <w:r>
        <w:rPr>
          <w:b/>
        </w:rPr>
        <w:br/>
      </w:r>
      <w:r>
        <w:rPr>
          <w:b/>
        </w:rPr>
        <w:br/>
      </w:r>
      <w:r>
        <w:rPr>
          <w:b/>
        </w:rPr>
        <w:br/>
      </w:r>
      <w:r>
        <w:rPr>
          <w:b/>
        </w:rPr>
        <w:br/>
        <w:t>COURSE SYLLABUS</w:t>
      </w:r>
      <w:r>
        <w:rPr>
          <w:b/>
        </w:rPr>
        <w:br/>
      </w:r>
      <w:r>
        <w:rPr>
          <w:b/>
        </w:rPr>
        <w:br/>
      </w:r>
      <w:r>
        <w:rPr>
          <w:b/>
        </w:rPr>
        <w:br/>
      </w:r>
      <w:r>
        <w:rPr>
          <w:b/>
        </w:rPr>
        <w:br/>
      </w:r>
      <w:r>
        <w:rPr>
          <w:b/>
        </w:rPr>
        <w:br/>
      </w:r>
      <w:r>
        <w:rPr>
          <w:b/>
        </w:rPr>
        <w:br/>
        <w:t>SPRING 201</w:t>
      </w:r>
      <w:r w:rsidR="00DE11FE">
        <w:rPr>
          <w:b/>
        </w:rPr>
        <w:t>8</w:t>
      </w:r>
      <w:r>
        <w:rPr>
          <w:b/>
        </w:rPr>
        <w:br/>
        <w:t>Part B</w:t>
      </w:r>
      <w:r>
        <w:rPr>
          <w:b/>
        </w:rPr>
        <w:br/>
      </w:r>
      <w:r>
        <w:rPr>
          <w:b/>
        </w:rPr>
        <w:br/>
      </w:r>
      <w:r>
        <w:rPr>
          <w:b/>
        </w:rPr>
        <w:br/>
        <w:t>Tuesday, 9-11 A.M.</w:t>
      </w:r>
      <w:r>
        <w:rPr>
          <w:b/>
        </w:rPr>
        <w:br/>
      </w:r>
      <w:bookmarkStart w:id="0" w:name="_GoBack"/>
      <w:bookmarkEnd w:id="0"/>
      <w:r w:rsidR="00F00F86">
        <w:rPr>
          <w:b/>
        </w:rPr>
        <w:t xml:space="preserve">200 </w:t>
      </w:r>
      <w:proofErr w:type="spellStart"/>
      <w:r w:rsidR="00F00F86">
        <w:rPr>
          <w:b/>
        </w:rPr>
        <w:t>Fayerweather</w:t>
      </w:r>
      <w:proofErr w:type="spellEnd"/>
      <w:r w:rsidR="00F00F86">
        <w:rPr>
          <w:b/>
        </w:rPr>
        <w:t xml:space="preserve"> Hall</w:t>
      </w:r>
      <w:r>
        <w:rPr>
          <w:b/>
        </w:rPr>
        <w:br/>
      </w:r>
    </w:p>
    <w:p w:rsidR="00932C6E" w:rsidRDefault="00932C6E">
      <w:pPr>
        <w:spacing w:after="0"/>
        <w:jc w:val="center"/>
        <w:rPr>
          <w:u w:val="double"/>
        </w:rPr>
      </w:pPr>
    </w:p>
    <w:p w:rsidR="00932C6E" w:rsidRDefault="00932C6E">
      <w:pPr>
        <w:spacing w:after="0"/>
        <w:jc w:val="center"/>
        <w:rPr>
          <w:u w:val="double"/>
        </w:rPr>
      </w:pPr>
    </w:p>
    <w:p w:rsidR="00932C6E" w:rsidRDefault="0026326A">
      <w:pPr>
        <w:spacing w:after="0"/>
        <w:jc w:val="cente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932C6E" w:rsidRDefault="0026326A">
      <w:pPr>
        <w:spacing w:after="0"/>
        <w:rPr>
          <w:u w:val="double"/>
        </w:rPr>
      </w:pPr>
      <w:r>
        <w:rPr>
          <w:u w:val="double"/>
        </w:rPr>
        <w:br w:type="page"/>
      </w:r>
    </w:p>
    <w:p w:rsidR="00932C6E" w:rsidRDefault="0026326A">
      <w:pPr>
        <w:pStyle w:val="BodyText"/>
        <w:spacing w:after="0"/>
        <w:jc w:val="center"/>
        <w:rPr>
          <w:u w:val="single"/>
        </w:rPr>
      </w:pPr>
      <w:r>
        <w:rPr>
          <w:b/>
        </w:rPr>
        <w:lastRenderedPageBreak/>
        <w:t>COMMERCIAL LEASING</w:t>
      </w:r>
      <w:r>
        <w:rPr>
          <w:b/>
        </w:rPr>
        <w:br/>
      </w:r>
      <w:r>
        <w:rPr>
          <w:b/>
        </w:rPr>
        <w:br/>
        <w:t>COURSE PLA 6375</w:t>
      </w:r>
    </w:p>
    <w:p w:rsidR="00932C6E" w:rsidRDefault="0026326A">
      <w:pPr>
        <w:keepNext/>
        <w:spacing w:after="0"/>
        <w:jc w:val="center"/>
        <w:rPr>
          <w:b/>
          <w:kern w:val="28"/>
          <w:szCs w:val="52"/>
        </w:rPr>
      </w:pPr>
      <w:r>
        <w:rPr>
          <w:b/>
          <w:kern w:val="28"/>
          <w:szCs w:val="52"/>
        </w:rPr>
        <w:t>Spring 201</w:t>
      </w:r>
      <w:r w:rsidR="00DE11FE">
        <w:rPr>
          <w:b/>
          <w:kern w:val="28"/>
          <w:szCs w:val="52"/>
        </w:rPr>
        <w:t>8</w:t>
      </w:r>
    </w:p>
    <w:p w:rsidR="00932C6E" w:rsidRDefault="00932C6E">
      <w:pPr>
        <w:keepNext/>
        <w:spacing w:after="0"/>
        <w:jc w:val="center"/>
        <w:rPr>
          <w:b/>
          <w:kern w:val="28"/>
          <w:szCs w:val="52"/>
        </w:rPr>
      </w:pPr>
    </w:p>
    <w:p w:rsidR="00932C6E" w:rsidRDefault="0026326A">
      <w:pPr>
        <w:spacing w:after="0"/>
        <w:jc w:val="center"/>
        <w:rPr>
          <w:b/>
        </w:rPr>
      </w:pPr>
      <w:r>
        <w:rPr>
          <w:b/>
        </w:rPr>
        <w:t>OUR OVERALL PLAN</w:t>
      </w:r>
    </w:p>
    <w:p w:rsidR="00932C6E" w:rsidRDefault="00932C6E">
      <w:pPr>
        <w:spacing w:after="0"/>
        <w:jc w:val="both"/>
      </w:pPr>
    </w:p>
    <w:p w:rsidR="00932C6E" w:rsidRDefault="00932C6E">
      <w:pPr>
        <w:spacing w:after="0"/>
        <w:jc w:val="both"/>
      </w:pPr>
    </w:p>
    <w:p w:rsidR="00932C6E" w:rsidRDefault="0026326A">
      <w:pPr>
        <w:spacing w:after="0"/>
        <w:jc w:val="both"/>
      </w:pPr>
      <w:r>
        <w:t xml:space="preserve">We teach this course from both a business and legal vantage points. We will focus on aspects of how business terms and building functions are integrated in the lease.  Leasing is the means by which an owner makes money annually on his property, commercial and residential.  These are really the sole means. </w:t>
      </w:r>
    </w:p>
    <w:p w:rsidR="00932C6E" w:rsidRDefault="00932C6E">
      <w:pPr>
        <w:spacing w:after="0"/>
        <w:jc w:val="both"/>
      </w:pPr>
    </w:p>
    <w:p w:rsidR="00932C6E" w:rsidRDefault="0026326A">
      <w:pPr>
        <w:spacing w:after="0"/>
        <w:jc w:val="both"/>
      </w:pPr>
      <w:r>
        <w:t xml:space="preserve">We cover both commercial and retail space, and try to look at each topic from the perspective of both the landlord and the tenant.  You will learn that there is a large difference in perspective, and lots of give and take is possible during negotiations.  Learning a little about negotiations is one of the goals of this course.  </w:t>
      </w:r>
    </w:p>
    <w:p w:rsidR="00932C6E" w:rsidRDefault="00932C6E">
      <w:pPr>
        <w:spacing w:after="0"/>
        <w:jc w:val="both"/>
      </w:pPr>
    </w:p>
    <w:p w:rsidR="00932C6E" w:rsidRDefault="0026326A">
      <w:pPr>
        <w:spacing w:after="0"/>
        <w:jc w:val="both"/>
      </w:pPr>
      <w:r>
        <w:t xml:space="preserve">Course materials have been very carefully selected and will be available about a week before each class.  </w:t>
      </w:r>
      <w:r>
        <w:rPr>
          <w:color w:val="000000"/>
        </w:rPr>
        <w:t xml:space="preserve">The course materials will include sections from actual leases, published articles, and a few valuable court cases.  Because they may not correspond exactly with what we cover in </w:t>
      </w:r>
      <w:r>
        <w:t xml:space="preserve">each class, we refer to each set of materials as a “volume”.  </w:t>
      </w:r>
      <w:r>
        <w:rPr>
          <w:color w:val="000000"/>
        </w:rPr>
        <w:t>W</w:t>
      </w:r>
      <w:r>
        <w:t xml:space="preserve">e will electronically project overheads for discussion and use them to have give and take on important issues.  </w:t>
      </w:r>
    </w:p>
    <w:p w:rsidR="00932C6E" w:rsidRDefault="00932C6E">
      <w:pPr>
        <w:spacing w:after="0"/>
        <w:jc w:val="both"/>
      </w:pPr>
    </w:p>
    <w:p w:rsidR="00932C6E" w:rsidRDefault="0026326A">
      <w:pPr>
        <w:spacing w:after="0"/>
        <w:jc w:val="both"/>
      </w:pPr>
      <w:r>
        <w:t xml:space="preserve">We will give one mandatory final exam, which will be based on a set of facts and will give you a chance to show us what you have learned.  Our exam has been always a take home and is not likely to change.  Thoughtfulness will count, as will good writing and organization.  We may also ask </w:t>
      </w:r>
      <w:proofErr w:type="gramStart"/>
      <w:r>
        <w:t>you  to</w:t>
      </w:r>
      <w:proofErr w:type="gramEnd"/>
      <w:r>
        <w:t xml:space="preserve"> take a pop quiz on the reading or write a short paper. </w:t>
      </w:r>
    </w:p>
    <w:p w:rsidR="00932C6E" w:rsidRDefault="00932C6E">
      <w:pPr>
        <w:spacing w:after="0"/>
        <w:jc w:val="both"/>
      </w:pPr>
    </w:p>
    <w:p w:rsidR="00932C6E" w:rsidRDefault="0026326A">
      <w:pPr>
        <w:spacing w:after="0"/>
        <w:jc w:val="both"/>
      </w:pPr>
      <w:r>
        <w:t>Besides your written work, attendance and participation in class will count toward your grade.  We plan to discuss and debate issues and solutions with you, rather than just lecture.  So we’d like you to take the time to familiarize yourself with each week’s materials, especially articles and court cases.  Unless we say otherwise, attendance and participation will count for 30% of the grade.</w:t>
      </w:r>
    </w:p>
    <w:p w:rsidR="00932C6E" w:rsidRDefault="00932C6E">
      <w:pPr>
        <w:spacing w:after="0"/>
        <w:jc w:val="both"/>
      </w:pPr>
    </w:p>
    <w:p w:rsidR="00932C6E" w:rsidRDefault="0026326A">
      <w:pPr>
        <w:spacing w:after="0"/>
        <w:jc w:val="both"/>
      </w:pPr>
      <w:r>
        <w:t xml:space="preserve">  .</w:t>
      </w:r>
    </w:p>
    <w:p w:rsidR="00932C6E" w:rsidRDefault="00932C6E">
      <w:pPr>
        <w:spacing w:after="0"/>
        <w:jc w:val="center"/>
        <w:rPr>
          <w:b/>
        </w:rPr>
      </w:pPr>
    </w:p>
    <w:p w:rsidR="00932C6E" w:rsidRDefault="00932C6E">
      <w:pPr>
        <w:pStyle w:val="BodyText"/>
        <w:spacing w:after="0"/>
        <w:jc w:val="center"/>
        <w:rPr>
          <w:b/>
        </w:rPr>
        <w:sectPr w:rsidR="00932C6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720" w:gutter="0"/>
          <w:cols w:space="720"/>
          <w:vAlign w:val="center"/>
          <w:titlePg/>
          <w:docGrid w:linePitch="360"/>
        </w:sectPr>
      </w:pPr>
    </w:p>
    <w:p w:rsidR="00932C6E" w:rsidRDefault="0026326A">
      <w:pPr>
        <w:pStyle w:val="BodyText"/>
        <w:spacing w:after="0"/>
        <w:jc w:val="center"/>
        <w:rPr>
          <w:u w:val="single"/>
        </w:rPr>
      </w:pPr>
      <w:r>
        <w:rPr>
          <w:b/>
        </w:rPr>
        <w:lastRenderedPageBreak/>
        <w:t>COMMERCIAL LEASING</w:t>
      </w:r>
      <w:r>
        <w:rPr>
          <w:b/>
        </w:rPr>
        <w:br/>
      </w:r>
      <w:r>
        <w:rPr>
          <w:b/>
        </w:rPr>
        <w:br/>
        <w:t>COURSE PLA 6375</w:t>
      </w:r>
    </w:p>
    <w:p w:rsidR="00932C6E" w:rsidRDefault="0026326A">
      <w:pPr>
        <w:keepNext/>
        <w:spacing w:after="0"/>
        <w:jc w:val="center"/>
        <w:rPr>
          <w:b/>
          <w:kern w:val="28"/>
          <w:szCs w:val="52"/>
        </w:rPr>
      </w:pPr>
      <w:r>
        <w:rPr>
          <w:b/>
          <w:kern w:val="28"/>
          <w:szCs w:val="52"/>
        </w:rPr>
        <w:t xml:space="preserve">March </w:t>
      </w:r>
      <w:r w:rsidR="00DE11FE">
        <w:rPr>
          <w:b/>
          <w:kern w:val="28"/>
          <w:szCs w:val="52"/>
        </w:rPr>
        <w:t>6</w:t>
      </w:r>
      <w:r>
        <w:rPr>
          <w:b/>
          <w:kern w:val="28"/>
          <w:szCs w:val="52"/>
        </w:rPr>
        <w:t>, 201</w:t>
      </w:r>
      <w:r w:rsidR="00DE11FE">
        <w:rPr>
          <w:b/>
          <w:kern w:val="28"/>
          <w:szCs w:val="52"/>
        </w:rPr>
        <w:t>8</w:t>
      </w:r>
    </w:p>
    <w:p w:rsidR="00932C6E" w:rsidRDefault="00932C6E">
      <w:pPr>
        <w:keepNext/>
        <w:spacing w:after="0"/>
        <w:jc w:val="center"/>
        <w:rPr>
          <w:b/>
          <w:kern w:val="28"/>
          <w:szCs w:val="52"/>
        </w:rPr>
      </w:pPr>
    </w:p>
    <w:p w:rsidR="00932C6E" w:rsidRDefault="0026326A">
      <w:pPr>
        <w:keepNext/>
        <w:spacing w:after="0"/>
        <w:jc w:val="center"/>
        <w:rPr>
          <w:b/>
          <w:kern w:val="28"/>
          <w:szCs w:val="52"/>
        </w:rPr>
      </w:pPr>
      <w:r>
        <w:rPr>
          <w:b/>
          <w:kern w:val="28"/>
          <w:szCs w:val="52"/>
          <w:u w:val="single"/>
        </w:rPr>
        <w:t>VOLUME I:  THE PARTIES AND THE CONTEXT</w:t>
      </w:r>
    </w:p>
    <w:p w:rsidR="00932C6E" w:rsidRDefault="00932C6E">
      <w:pPr>
        <w:keepNext/>
        <w:spacing w:after="0"/>
        <w:jc w:val="center"/>
        <w:rPr>
          <w:b/>
          <w:kern w:val="28"/>
          <w:szCs w:val="52"/>
        </w:rPr>
      </w:pPr>
    </w:p>
    <w:p w:rsidR="00932C6E" w:rsidRDefault="0026326A">
      <w:pPr>
        <w:spacing w:after="0"/>
        <w:jc w:val="both"/>
      </w:pPr>
      <w:r>
        <w:t>We will begin with a look at the critical players and elements: the (potential) landlord, the (potential) tenant, and the (selected) brokers.  We explore the fundamentals including what is needed to make a deal.  As will be the case throughout the course, we will look at many issues from both the landlord’s viewpoint and tenant’s viewpoint.  Since a space lease is an interest derived from the “owner’s fee estate”, and is “subordinate” to it, we need to understand the implications of a mortgage on landlord’s fee, and/or a ground lease, to a space lessee.</w:t>
      </w:r>
    </w:p>
    <w:p w:rsidR="00932C6E" w:rsidRDefault="00932C6E">
      <w:pPr>
        <w:spacing w:after="0"/>
      </w:pPr>
    </w:p>
    <w:p w:rsidR="00932C6E" w:rsidRDefault="0026326A">
      <w:pPr>
        <w:numPr>
          <w:ilvl w:val="0"/>
          <w:numId w:val="17"/>
        </w:numPr>
        <w:tabs>
          <w:tab w:val="num" w:pos="1080"/>
        </w:tabs>
        <w:autoSpaceDE w:val="0"/>
        <w:autoSpaceDN w:val="0"/>
        <w:adjustRightInd w:val="0"/>
        <w:spacing w:after="160"/>
        <w:outlineLvl w:val="0"/>
        <w:rPr>
          <w:b/>
          <w:bCs/>
        </w:rPr>
      </w:pPr>
      <w:r>
        <w:rPr>
          <w:b/>
          <w:bCs/>
        </w:rPr>
        <w:t>The Parties: Landlord and Tenant</w:t>
      </w:r>
    </w:p>
    <w:p w:rsidR="00932C6E" w:rsidRDefault="0026326A">
      <w:pPr>
        <w:numPr>
          <w:ilvl w:val="0"/>
          <w:numId w:val="17"/>
        </w:numPr>
        <w:tabs>
          <w:tab w:val="num" w:pos="1080"/>
        </w:tabs>
        <w:autoSpaceDE w:val="0"/>
        <w:autoSpaceDN w:val="0"/>
        <w:adjustRightInd w:val="0"/>
        <w:spacing w:after="160"/>
        <w:ind w:left="1080" w:hanging="1080"/>
        <w:outlineLvl w:val="0"/>
        <w:rPr>
          <w:b/>
          <w:bCs/>
        </w:rPr>
      </w:pPr>
      <w:r>
        <w:rPr>
          <w:b/>
          <w:bCs/>
        </w:rPr>
        <w:t xml:space="preserve">The Market </w:t>
      </w:r>
    </w:p>
    <w:p w:rsidR="00932C6E" w:rsidRDefault="0026326A">
      <w:pPr>
        <w:numPr>
          <w:ilvl w:val="0"/>
          <w:numId w:val="17"/>
        </w:numPr>
        <w:tabs>
          <w:tab w:val="num" w:pos="1080"/>
        </w:tabs>
        <w:autoSpaceDE w:val="0"/>
        <w:autoSpaceDN w:val="0"/>
        <w:adjustRightInd w:val="0"/>
        <w:spacing w:after="160"/>
        <w:ind w:left="1080" w:hanging="1080"/>
        <w:outlineLvl w:val="0"/>
        <w:rPr>
          <w:b/>
          <w:bCs/>
        </w:rPr>
      </w:pPr>
      <w:r>
        <w:rPr>
          <w:b/>
          <w:bCs/>
        </w:rPr>
        <w:t>Connecting the Parties: the Brokers</w:t>
      </w:r>
    </w:p>
    <w:p w:rsidR="00932C6E" w:rsidRDefault="0026326A">
      <w:pPr>
        <w:numPr>
          <w:ilvl w:val="0"/>
          <w:numId w:val="17"/>
        </w:numPr>
        <w:tabs>
          <w:tab w:val="num" w:pos="1080"/>
        </w:tabs>
        <w:autoSpaceDE w:val="0"/>
        <w:autoSpaceDN w:val="0"/>
        <w:adjustRightInd w:val="0"/>
        <w:spacing w:after="160"/>
        <w:ind w:left="1080" w:hanging="1080"/>
        <w:outlineLvl w:val="0"/>
        <w:rPr>
          <w:b/>
          <w:bCs/>
        </w:rPr>
      </w:pPr>
      <w:r>
        <w:rPr>
          <w:b/>
          <w:bCs/>
        </w:rPr>
        <w:t>Background Issues and Legal Structure: title, mortgages and ground leases</w:t>
      </w:r>
    </w:p>
    <w:p w:rsidR="00932C6E" w:rsidRDefault="0026326A">
      <w:pPr>
        <w:numPr>
          <w:ilvl w:val="0"/>
          <w:numId w:val="17"/>
        </w:numPr>
        <w:tabs>
          <w:tab w:val="num" w:pos="1080"/>
        </w:tabs>
        <w:autoSpaceDE w:val="0"/>
        <w:autoSpaceDN w:val="0"/>
        <w:adjustRightInd w:val="0"/>
        <w:spacing w:after="160"/>
        <w:ind w:left="1080" w:hanging="1080"/>
        <w:outlineLvl w:val="0"/>
        <w:rPr>
          <w:b/>
          <w:bCs/>
        </w:rPr>
      </w:pPr>
      <w:r>
        <w:rPr>
          <w:b/>
          <w:bCs/>
        </w:rPr>
        <w:t>Non-Disturbance Agreements</w:t>
      </w:r>
    </w:p>
    <w:p w:rsidR="00932C6E" w:rsidRDefault="0026326A">
      <w:pPr>
        <w:numPr>
          <w:ilvl w:val="0"/>
          <w:numId w:val="17"/>
        </w:numPr>
        <w:tabs>
          <w:tab w:val="num" w:pos="1080"/>
        </w:tabs>
        <w:autoSpaceDE w:val="0"/>
        <w:autoSpaceDN w:val="0"/>
        <w:adjustRightInd w:val="0"/>
        <w:spacing w:after="160"/>
        <w:ind w:left="1080" w:hanging="1080"/>
        <w:outlineLvl w:val="0"/>
        <w:rPr>
          <w:b/>
          <w:bCs/>
        </w:rPr>
      </w:pPr>
      <w:r>
        <w:rPr>
          <w:b/>
          <w:bCs/>
        </w:rPr>
        <w:t xml:space="preserve">Covenant of Quiet Enjoyment </w:t>
      </w:r>
    </w:p>
    <w:p w:rsidR="00932C6E" w:rsidRDefault="0026326A">
      <w:pPr>
        <w:numPr>
          <w:ilvl w:val="0"/>
          <w:numId w:val="17"/>
        </w:numPr>
        <w:tabs>
          <w:tab w:val="num" w:pos="1080"/>
        </w:tabs>
        <w:autoSpaceDE w:val="0"/>
        <w:autoSpaceDN w:val="0"/>
        <w:adjustRightInd w:val="0"/>
        <w:spacing w:after="160"/>
        <w:ind w:left="1080" w:hanging="1080"/>
        <w:outlineLvl w:val="0"/>
        <w:rPr>
          <w:b/>
          <w:bCs/>
        </w:rPr>
      </w:pPr>
      <w:r>
        <w:rPr>
          <w:b/>
          <w:bCs/>
        </w:rPr>
        <w:t>Security Deposits and Guarantees</w:t>
      </w:r>
    </w:p>
    <w:p w:rsidR="00932C6E" w:rsidRDefault="0026326A">
      <w:pPr>
        <w:pStyle w:val="BodyText"/>
        <w:spacing w:after="0"/>
        <w:jc w:val="center"/>
        <w:rPr>
          <w:b/>
        </w:rPr>
      </w:pPr>
      <w:r>
        <w:rPr>
          <w:u w:val="single"/>
        </w:rPr>
        <w:br w:type="page"/>
      </w:r>
      <w:r>
        <w:rPr>
          <w:b/>
        </w:rPr>
        <w:lastRenderedPageBreak/>
        <w:t>COMMERCIAL LEASING</w:t>
      </w:r>
      <w:r>
        <w:rPr>
          <w:b/>
        </w:rPr>
        <w:br/>
      </w:r>
      <w:r>
        <w:rPr>
          <w:b/>
        </w:rPr>
        <w:br/>
        <w:t>COURSE PLA 6375</w:t>
      </w:r>
    </w:p>
    <w:p w:rsidR="00932C6E" w:rsidRDefault="0026326A">
      <w:pPr>
        <w:pStyle w:val="BodyText"/>
        <w:spacing w:after="0"/>
        <w:jc w:val="center"/>
        <w:rPr>
          <w:b/>
        </w:rPr>
      </w:pPr>
      <w:r>
        <w:rPr>
          <w:b/>
        </w:rPr>
        <w:t>March 2</w:t>
      </w:r>
      <w:r w:rsidR="00DE11FE">
        <w:rPr>
          <w:b/>
        </w:rPr>
        <w:t>0</w:t>
      </w:r>
      <w:r>
        <w:rPr>
          <w:b/>
        </w:rPr>
        <w:t>, 201</w:t>
      </w:r>
      <w:r w:rsidR="00DE11FE">
        <w:rPr>
          <w:b/>
        </w:rPr>
        <w:t>8</w:t>
      </w:r>
    </w:p>
    <w:p w:rsidR="00932C6E" w:rsidRDefault="00932C6E">
      <w:pPr>
        <w:pStyle w:val="BodyText"/>
        <w:spacing w:after="0"/>
        <w:jc w:val="center"/>
        <w:rPr>
          <w:b/>
        </w:rPr>
      </w:pPr>
    </w:p>
    <w:p w:rsidR="00932C6E" w:rsidRDefault="0026326A">
      <w:pPr>
        <w:pStyle w:val="BodyText"/>
        <w:spacing w:after="0"/>
        <w:jc w:val="center"/>
        <w:rPr>
          <w:b/>
          <w:u w:val="single"/>
        </w:rPr>
      </w:pPr>
      <w:r>
        <w:rPr>
          <w:b/>
          <w:u w:val="single"/>
        </w:rPr>
        <w:t>VOLUME II: BASIC TERMS AND INDUCEMENTS</w:t>
      </w:r>
    </w:p>
    <w:p w:rsidR="00932C6E" w:rsidRDefault="00932C6E">
      <w:pPr>
        <w:pStyle w:val="BodyText"/>
        <w:spacing w:after="0"/>
        <w:jc w:val="center"/>
        <w:rPr>
          <w:u w:val="single"/>
        </w:rPr>
      </w:pPr>
    </w:p>
    <w:p w:rsidR="00932C6E" w:rsidRDefault="0026326A">
      <w:pPr>
        <w:pStyle w:val="BodyText"/>
        <w:spacing w:after="0"/>
        <w:jc w:val="both"/>
      </w:pPr>
      <w:r>
        <w:t>We will review the basic terms of a lease arrangement and important factors relating to tenant requirements.  These include: determinations of the amount of space, how it is measured, how the space is to be used, the period of usage, and inducements relating to the work required for the space to be useable.  Landlord and tenant perspectives do not always coincide.</w:t>
      </w:r>
    </w:p>
    <w:p w:rsidR="00932C6E" w:rsidRDefault="00932C6E">
      <w:pPr>
        <w:pStyle w:val="BodyText"/>
        <w:spacing w:after="0"/>
        <w:jc w:val="both"/>
      </w:pPr>
    </w:p>
    <w:p w:rsidR="00932C6E" w:rsidRDefault="0026326A">
      <w:pPr>
        <w:pStyle w:val="Heading1"/>
        <w:spacing w:after="160"/>
        <w:rPr>
          <w:b/>
        </w:rPr>
      </w:pPr>
      <w:r>
        <w:rPr>
          <w:b/>
        </w:rPr>
        <w:t>Sample Term Sheet</w:t>
      </w:r>
    </w:p>
    <w:p w:rsidR="00932C6E" w:rsidRDefault="0026326A">
      <w:pPr>
        <w:pStyle w:val="Heading1"/>
        <w:spacing w:after="160"/>
        <w:rPr>
          <w:b/>
        </w:rPr>
      </w:pPr>
      <w:r>
        <w:rPr>
          <w:b/>
        </w:rPr>
        <w:t>Viewing the Market</w:t>
      </w:r>
    </w:p>
    <w:p w:rsidR="00932C6E" w:rsidRDefault="0026326A">
      <w:pPr>
        <w:pStyle w:val="Heading1"/>
        <w:spacing w:after="160"/>
        <w:rPr>
          <w:b/>
        </w:rPr>
      </w:pPr>
      <w:r>
        <w:rPr>
          <w:b/>
        </w:rPr>
        <w:t xml:space="preserve">Space: Measurements of square footage </w:t>
      </w:r>
    </w:p>
    <w:p w:rsidR="00932C6E" w:rsidRDefault="0026326A">
      <w:pPr>
        <w:pStyle w:val="Heading1"/>
        <w:spacing w:after="160"/>
        <w:rPr>
          <w:b/>
        </w:rPr>
      </w:pPr>
      <w:r>
        <w:rPr>
          <w:b/>
        </w:rPr>
        <w:t>Use Wars</w:t>
      </w:r>
    </w:p>
    <w:p w:rsidR="00932C6E" w:rsidRDefault="0026326A">
      <w:pPr>
        <w:pStyle w:val="Heading1"/>
        <w:spacing w:after="160"/>
        <w:rPr>
          <w:b/>
        </w:rPr>
      </w:pPr>
      <w:r>
        <w:rPr>
          <w:b/>
        </w:rPr>
        <w:t>Term of the Lease</w:t>
      </w:r>
    </w:p>
    <w:p w:rsidR="00932C6E" w:rsidRDefault="0026326A">
      <w:pPr>
        <w:pStyle w:val="Heading1"/>
        <w:spacing w:after="160"/>
        <w:rPr>
          <w:b/>
        </w:rPr>
      </w:pPr>
      <w:r>
        <w:rPr>
          <w:b/>
        </w:rPr>
        <w:t>Inducements</w:t>
      </w:r>
    </w:p>
    <w:p w:rsidR="00932C6E" w:rsidRDefault="0026326A">
      <w:pPr>
        <w:pStyle w:val="Heading1"/>
        <w:spacing w:after="160"/>
        <w:rPr>
          <w:b/>
        </w:rPr>
      </w:pPr>
      <w:r>
        <w:rPr>
          <w:b/>
        </w:rPr>
        <w:t>Landlord’s Work: Improvements to Building and Tenant’s Space</w:t>
      </w:r>
    </w:p>
    <w:p w:rsidR="00932C6E" w:rsidRDefault="0026326A">
      <w:pPr>
        <w:pStyle w:val="Heading1"/>
        <w:spacing w:after="160"/>
        <w:rPr>
          <w:b/>
        </w:rPr>
      </w:pPr>
      <w:r>
        <w:rPr>
          <w:b/>
        </w:rPr>
        <w:t>Tenant Work Allowances</w:t>
      </w:r>
    </w:p>
    <w:p w:rsidR="00932C6E" w:rsidRDefault="0026326A">
      <w:pPr>
        <w:pStyle w:val="Heading1"/>
        <w:spacing w:after="0"/>
        <w:rPr>
          <w:b/>
        </w:rPr>
      </w:pPr>
      <w:r>
        <w:rPr>
          <w:b/>
        </w:rPr>
        <w:t>Work Letters</w:t>
      </w:r>
    </w:p>
    <w:p w:rsidR="00932C6E" w:rsidRDefault="0026326A">
      <w:pPr>
        <w:pStyle w:val="BodyText"/>
        <w:spacing w:after="0"/>
        <w:jc w:val="center"/>
        <w:rPr>
          <w:b/>
        </w:rPr>
      </w:pPr>
      <w:r>
        <w:rPr>
          <w:u w:val="single"/>
        </w:rPr>
        <w:br w:type="page"/>
      </w:r>
      <w:r>
        <w:rPr>
          <w:b/>
        </w:rPr>
        <w:lastRenderedPageBreak/>
        <w:t>COMMERCIAL LEASING</w:t>
      </w:r>
      <w:r>
        <w:rPr>
          <w:b/>
        </w:rPr>
        <w:br/>
      </w:r>
      <w:r>
        <w:rPr>
          <w:b/>
        </w:rPr>
        <w:br/>
        <w:t>COURSE PLA 6375</w:t>
      </w:r>
    </w:p>
    <w:p w:rsidR="00932C6E" w:rsidRDefault="0026326A">
      <w:pPr>
        <w:pStyle w:val="BodyText"/>
        <w:spacing w:after="0"/>
        <w:jc w:val="center"/>
        <w:rPr>
          <w:b/>
        </w:rPr>
      </w:pPr>
      <w:r>
        <w:rPr>
          <w:b/>
        </w:rPr>
        <w:t>March 2</w:t>
      </w:r>
      <w:r w:rsidR="00DE11FE">
        <w:rPr>
          <w:b/>
        </w:rPr>
        <w:t>7</w:t>
      </w:r>
      <w:r>
        <w:rPr>
          <w:b/>
        </w:rPr>
        <w:t>, 201</w:t>
      </w:r>
      <w:r w:rsidR="00DE11FE">
        <w:rPr>
          <w:b/>
        </w:rPr>
        <w:t>8</w:t>
      </w:r>
    </w:p>
    <w:p w:rsidR="00932C6E" w:rsidRDefault="00932C6E">
      <w:pPr>
        <w:pStyle w:val="BodyText"/>
        <w:spacing w:after="0"/>
        <w:jc w:val="center"/>
        <w:rPr>
          <w:b/>
        </w:rPr>
      </w:pPr>
    </w:p>
    <w:p w:rsidR="00932C6E" w:rsidRDefault="0026326A">
      <w:pPr>
        <w:pStyle w:val="BodyText"/>
        <w:spacing w:after="0"/>
        <w:jc w:val="center"/>
        <w:rPr>
          <w:u w:val="single"/>
        </w:rPr>
      </w:pPr>
      <w:r>
        <w:rPr>
          <w:b/>
          <w:u w:val="single"/>
        </w:rPr>
        <w:t>VOLUME III: RENT: REVENUES AND COSTS</w:t>
      </w:r>
    </w:p>
    <w:p w:rsidR="00932C6E" w:rsidRDefault="00932C6E">
      <w:pPr>
        <w:pStyle w:val="Heading1"/>
        <w:numPr>
          <w:ilvl w:val="0"/>
          <w:numId w:val="0"/>
        </w:numPr>
        <w:spacing w:after="0"/>
        <w:ind w:left="720" w:hanging="720"/>
      </w:pPr>
    </w:p>
    <w:p w:rsidR="00932C6E" w:rsidRDefault="0026326A">
      <w:pPr>
        <w:pStyle w:val="Heading1"/>
        <w:numPr>
          <w:ilvl w:val="0"/>
          <w:numId w:val="0"/>
        </w:numPr>
        <w:spacing w:after="0"/>
        <w:jc w:val="both"/>
      </w:pPr>
      <w:r>
        <w:t>Class III focuses on the economics of leasing space, including the components and determination of rent.  Attention will be paid to the protection of landlords from economic changes over the course of the term and various techniques used by landlords to protect and improve their return on investment and by tenants to minimize future increases and risks.</w:t>
      </w:r>
    </w:p>
    <w:p w:rsidR="00932C6E" w:rsidRDefault="00932C6E">
      <w:pPr>
        <w:pStyle w:val="Heading1"/>
        <w:numPr>
          <w:ilvl w:val="0"/>
          <w:numId w:val="0"/>
        </w:numPr>
        <w:spacing w:after="0"/>
        <w:jc w:val="both"/>
      </w:pPr>
    </w:p>
    <w:p w:rsidR="00932C6E" w:rsidRDefault="0026326A">
      <w:pPr>
        <w:pStyle w:val="Heading1"/>
        <w:numPr>
          <w:ilvl w:val="0"/>
          <w:numId w:val="13"/>
        </w:numPr>
        <w:spacing w:after="160"/>
        <w:rPr>
          <w:b/>
        </w:rPr>
      </w:pPr>
      <w:r>
        <w:rPr>
          <w:b/>
        </w:rPr>
        <w:t>The Components of Rent: Analysis of a Ten Year Deal</w:t>
      </w:r>
    </w:p>
    <w:p w:rsidR="00932C6E" w:rsidRDefault="0026326A">
      <w:pPr>
        <w:pStyle w:val="Heading1"/>
        <w:spacing w:after="160"/>
        <w:rPr>
          <w:b/>
        </w:rPr>
      </w:pPr>
      <w:r>
        <w:rPr>
          <w:b/>
        </w:rPr>
        <w:t>Fixed or “Basic” Rent</w:t>
      </w:r>
    </w:p>
    <w:p w:rsidR="00932C6E" w:rsidRDefault="0026326A">
      <w:pPr>
        <w:pStyle w:val="Heading1"/>
        <w:spacing w:after="160"/>
        <w:rPr>
          <w:b/>
        </w:rPr>
      </w:pPr>
      <w:r>
        <w:rPr>
          <w:b/>
        </w:rPr>
        <w:t>Additional Rent</w:t>
      </w:r>
    </w:p>
    <w:p w:rsidR="00932C6E" w:rsidRDefault="0026326A">
      <w:pPr>
        <w:pStyle w:val="Heading1"/>
        <w:spacing w:after="160"/>
        <w:rPr>
          <w:b/>
        </w:rPr>
      </w:pPr>
      <w:r>
        <w:rPr>
          <w:b/>
        </w:rPr>
        <w:t>Real Estate Tax and Operating Expense Escalations</w:t>
      </w:r>
    </w:p>
    <w:p w:rsidR="00932C6E" w:rsidRDefault="0026326A">
      <w:pPr>
        <w:pStyle w:val="Heading1"/>
        <w:tabs>
          <w:tab w:val="num" w:pos="-90"/>
          <w:tab w:val="left" w:pos="720"/>
        </w:tabs>
        <w:spacing w:after="160"/>
        <w:ind w:left="1440" w:hanging="1440"/>
        <w:rPr>
          <w:b/>
        </w:rPr>
      </w:pPr>
      <w:r>
        <w:rPr>
          <w:b/>
        </w:rPr>
        <w:t>Alternative Escalations</w:t>
      </w:r>
    </w:p>
    <w:p w:rsidR="00932C6E" w:rsidRDefault="0026326A">
      <w:pPr>
        <w:pStyle w:val="Heading1"/>
        <w:spacing w:after="160"/>
        <w:rPr>
          <w:b/>
        </w:rPr>
      </w:pPr>
      <w:r>
        <w:rPr>
          <w:b/>
        </w:rPr>
        <w:t>Percentage Rent and Participation Rent</w:t>
      </w:r>
    </w:p>
    <w:p w:rsidR="00932C6E" w:rsidRDefault="0026326A">
      <w:pPr>
        <w:pStyle w:val="Heading1"/>
        <w:spacing w:after="160"/>
        <w:rPr>
          <w:b/>
        </w:rPr>
      </w:pPr>
      <w:r>
        <w:rPr>
          <w:b/>
        </w:rPr>
        <w:t>Renewal Rents and Reappraisals</w:t>
      </w:r>
    </w:p>
    <w:p w:rsidR="00932C6E" w:rsidRDefault="0026326A">
      <w:pPr>
        <w:pStyle w:val="Heading1"/>
        <w:spacing w:after="160"/>
        <w:rPr>
          <w:b/>
        </w:rPr>
      </w:pPr>
      <w:r>
        <w:rPr>
          <w:b/>
        </w:rPr>
        <w:t>Grossing-Up</w:t>
      </w:r>
    </w:p>
    <w:p w:rsidR="00932C6E" w:rsidRDefault="0026326A">
      <w:pPr>
        <w:pStyle w:val="Heading1"/>
        <w:spacing w:after="160"/>
        <w:rPr>
          <w:b/>
        </w:rPr>
      </w:pPr>
      <w:r>
        <w:rPr>
          <w:b/>
        </w:rPr>
        <w:t xml:space="preserve">A Tenant’s Right to Audit? </w:t>
      </w:r>
    </w:p>
    <w:p w:rsidR="00932C6E" w:rsidRDefault="0026326A">
      <w:pPr>
        <w:pStyle w:val="Heading1"/>
        <w:spacing w:after="160"/>
        <w:rPr>
          <w:b/>
        </w:rPr>
      </w:pPr>
      <w:r>
        <w:rPr>
          <w:b/>
        </w:rPr>
        <w:t>Late Charges</w:t>
      </w:r>
    </w:p>
    <w:p w:rsidR="00932C6E" w:rsidRDefault="0026326A">
      <w:pPr>
        <w:pStyle w:val="BodyText"/>
        <w:spacing w:after="0"/>
        <w:jc w:val="center"/>
        <w:rPr>
          <w:b/>
        </w:rPr>
      </w:pPr>
      <w:r>
        <w:rPr>
          <w:u w:val="single"/>
        </w:rPr>
        <w:br w:type="page"/>
      </w:r>
      <w:r>
        <w:rPr>
          <w:b/>
        </w:rPr>
        <w:lastRenderedPageBreak/>
        <w:t>COMMERCIAL LEASING</w:t>
      </w:r>
      <w:r>
        <w:rPr>
          <w:b/>
        </w:rPr>
        <w:br/>
      </w:r>
      <w:r>
        <w:rPr>
          <w:b/>
        </w:rPr>
        <w:br/>
        <w:t>COURSE PLA 6375</w:t>
      </w:r>
    </w:p>
    <w:p w:rsidR="00932C6E" w:rsidRDefault="0026326A">
      <w:pPr>
        <w:pStyle w:val="BodyText"/>
        <w:spacing w:after="0"/>
        <w:jc w:val="center"/>
        <w:rPr>
          <w:b/>
        </w:rPr>
      </w:pPr>
      <w:r>
        <w:rPr>
          <w:b/>
        </w:rPr>
        <w:t xml:space="preserve">April </w:t>
      </w:r>
      <w:r w:rsidR="00DE11FE">
        <w:rPr>
          <w:b/>
        </w:rPr>
        <w:t>3</w:t>
      </w:r>
      <w:r>
        <w:rPr>
          <w:b/>
        </w:rPr>
        <w:t>, 201</w:t>
      </w:r>
      <w:r w:rsidR="00DE11FE">
        <w:rPr>
          <w:b/>
        </w:rPr>
        <w:t>8</w:t>
      </w:r>
    </w:p>
    <w:p w:rsidR="00932C6E" w:rsidRDefault="00932C6E">
      <w:pPr>
        <w:pStyle w:val="BodyText"/>
        <w:spacing w:after="0"/>
        <w:jc w:val="center"/>
        <w:rPr>
          <w:b/>
        </w:rPr>
      </w:pPr>
    </w:p>
    <w:p w:rsidR="00932C6E" w:rsidRDefault="0026326A">
      <w:pPr>
        <w:pStyle w:val="BodyText"/>
        <w:spacing w:after="0"/>
        <w:jc w:val="center"/>
        <w:rPr>
          <w:b/>
        </w:rPr>
      </w:pPr>
      <w:r>
        <w:rPr>
          <w:b/>
          <w:u w:val="single"/>
        </w:rPr>
        <w:t>VOLUME IV: SERVICES, MANDATES AND CASUALTIES</w:t>
      </w:r>
    </w:p>
    <w:p w:rsidR="00932C6E" w:rsidRDefault="00932C6E">
      <w:pPr>
        <w:pStyle w:val="Heading1"/>
        <w:numPr>
          <w:ilvl w:val="0"/>
          <w:numId w:val="0"/>
        </w:numPr>
        <w:spacing w:after="0"/>
        <w:ind w:left="720" w:hanging="720"/>
      </w:pPr>
    </w:p>
    <w:p w:rsidR="00932C6E" w:rsidRDefault="0026326A">
      <w:pPr>
        <w:pStyle w:val="Heading1"/>
        <w:numPr>
          <w:ilvl w:val="0"/>
          <w:numId w:val="0"/>
        </w:numPr>
        <w:spacing w:after="0"/>
        <w:jc w:val="both"/>
      </w:pPr>
      <w:r>
        <w:t>We will discuss fundamental issues concerning the operation of the building and of tenant’s space, including the provision of services by landlord.  Service interruption is a major concern to tenants and cause of disputes.  Governmental and other third party requirements come into play here as well.  This class includes our discussion of green lease provisions, and how casualties and eminent domain are addressed in a lease.</w:t>
      </w:r>
    </w:p>
    <w:p w:rsidR="00932C6E" w:rsidRDefault="00932C6E">
      <w:pPr>
        <w:pStyle w:val="Heading1"/>
        <w:numPr>
          <w:ilvl w:val="0"/>
          <w:numId w:val="0"/>
        </w:numPr>
        <w:spacing w:after="0"/>
        <w:jc w:val="both"/>
      </w:pPr>
    </w:p>
    <w:p w:rsidR="00932C6E" w:rsidRDefault="0026326A">
      <w:pPr>
        <w:pStyle w:val="Heading1"/>
        <w:numPr>
          <w:ilvl w:val="0"/>
          <w:numId w:val="13"/>
        </w:numPr>
        <w:spacing w:after="160"/>
        <w:rPr>
          <w:b/>
        </w:rPr>
      </w:pPr>
      <w:r>
        <w:rPr>
          <w:b/>
        </w:rPr>
        <w:t>Utilities and other Services:</w:t>
      </w:r>
    </w:p>
    <w:p w:rsidR="00932C6E" w:rsidRDefault="0026326A">
      <w:pPr>
        <w:pStyle w:val="Heading1"/>
        <w:numPr>
          <w:ilvl w:val="0"/>
          <w:numId w:val="13"/>
        </w:numPr>
        <w:spacing w:after="160"/>
        <w:rPr>
          <w:b/>
        </w:rPr>
      </w:pPr>
      <w:r>
        <w:rPr>
          <w:b/>
        </w:rPr>
        <w:t>Interruption of Services</w:t>
      </w:r>
    </w:p>
    <w:p w:rsidR="00932C6E" w:rsidRDefault="0026326A">
      <w:pPr>
        <w:pStyle w:val="Heading1"/>
        <w:numPr>
          <w:ilvl w:val="0"/>
          <w:numId w:val="13"/>
        </w:numPr>
        <w:spacing w:after="160"/>
        <w:rPr>
          <w:b/>
        </w:rPr>
      </w:pPr>
      <w:r>
        <w:rPr>
          <w:b/>
        </w:rPr>
        <w:t>Government Mandates/Statutory Requirements</w:t>
      </w:r>
    </w:p>
    <w:p w:rsidR="00932C6E" w:rsidRDefault="0026326A">
      <w:pPr>
        <w:pStyle w:val="Heading1"/>
        <w:spacing w:after="160"/>
        <w:rPr>
          <w:b/>
        </w:rPr>
      </w:pPr>
      <w:r>
        <w:rPr>
          <w:b/>
        </w:rPr>
        <w:t>Repairs, Maintenance, Insurance</w:t>
      </w:r>
    </w:p>
    <w:p w:rsidR="00932C6E" w:rsidRDefault="0026326A">
      <w:pPr>
        <w:pStyle w:val="Heading1"/>
        <w:numPr>
          <w:ilvl w:val="0"/>
          <w:numId w:val="13"/>
        </w:numPr>
        <w:spacing w:after="160"/>
        <w:rPr>
          <w:b/>
        </w:rPr>
      </w:pPr>
      <w:r>
        <w:rPr>
          <w:b/>
        </w:rPr>
        <w:t>Green Lease Provisions</w:t>
      </w:r>
    </w:p>
    <w:p w:rsidR="00932C6E" w:rsidRDefault="0026326A">
      <w:pPr>
        <w:pStyle w:val="Heading1"/>
        <w:spacing w:after="160"/>
        <w:rPr>
          <w:b/>
        </w:rPr>
      </w:pPr>
      <w:r>
        <w:rPr>
          <w:b/>
        </w:rPr>
        <w:t>Casualty</w:t>
      </w:r>
    </w:p>
    <w:p w:rsidR="00932C6E" w:rsidRDefault="0026326A">
      <w:pPr>
        <w:pStyle w:val="Heading1"/>
        <w:spacing w:after="0"/>
        <w:rPr>
          <w:b/>
        </w:rPr>
      </w:pPr>
      <w:r>
        <w:rPr>
          <w:b/>
        </w:rPr>
        <w:t>Condemnation</w:t>
      </w:r>
    </w:p>
    <w:p w:rsidR="00932C6E" w:rsidRDefault="0026326A">
      <w:pPr>
        <w:pStyle w:val="BodyText"/>
        <w:spacing w:after="0"/>
        <w:jc w:val="center"/>
        <w:rPr>
          <w:b/>
        </w:rPr>
      </w:pPr>
      <w:r>
        <w:br w:type="page"/>
      </w:r>
      <w:r>
        <w:rPr>
          <w:b/>
        </w:rPr>
        <w:lastRenderedPageBreak/>
        <w:t>COMMERCIAL LEASING</w:t>
      </w:r>
      <w:r>
        <w:rPr>
          <w:b/>
        </w:rPr>
        <w:br/>
      </w:r>
      <w:r>
        <w:rPr>
          <w:b/>
        </w:rPr>
        <w:br/>
        <w:t>COURSE PLA 6375</w:t>
      </w:r>
    </w:p>
    <w:p w:rsidR="00932C6E" w:rsidRDefault="0026326A">
      <w:pPr>
        <w:pStyle w:val="BodyText"/>
        <w:spacing w:after="0"/>
        <w:jc w:val="center"/>
        <w:rPr>
          <w:b/>
        </w:rPr>
      </w:pPr>
      <w:r>
        <w:rPr>
          <w:b/>
        </w:rPr>
        <w:t>April 1</w:t>
      </w:r>
      <w:r w:rsidR="00DE11FE">
        <w:rPr>
          <w:b/>
        </w:rPr>
        <w:t>0</w:t>
      </w:r>
      <w:r>
        <w:rPr>
          <w:b/>
        </w:rPr>
        <w:t>, 201</w:t>
      </w:r>
      <w:r w:rsidR="00DE11FE">
        <w:rPr>
          <w:b/>
        </w:rPr>
        <w:t>8</w:t>
      </w:r>
    </w:p>
    <w:p w:rsidR="00932C6E" w:rsidRDefault="00932C6E">
      <w:pPr>
        <w:pStyle w:val="BodyText"/>
        <w:spacing w:after="0"/>
        <w:jc w:val="center"/>
        <w:rPr>
          <w:b/>
          <w:u w:val="single"/>
        </w:rPr>
      </w:pPr>
    </w:p>
    <w:p w:rsidR="00932C6E" w:rsidRDefault="0026326A">
      <w:pPr>
        <w:pStyle w:val="BodyText"/>
        <w:spacing w:after="0"/>
        <w:jc w:val="center"/>
        <w:rPr>
          <w:b/>
          <w:u w:val="single"/>
        </w:rPr>
      </w:pPr>
      <w:r>
        <w:rPr>
          <w:b/>
          <w:u w:val="single"/>
        </w:rPr>
        <w:t>VOLUME V:  SPACE CONTROL</w:t>
      </w:r>
    </w:p>
    <w:p w:rsidR="00932C6E" w:rsidRDefault="00932C6E">
      <w:pPr>
        <w:pStyle w:val="BodyText"/>
        <w:spacing w:after="0"/>
        <w:jc w:val="center"/>
        <w:rPr>
          <w:b/>
        </w:rPr>
      </w:pPr>
    </w:p>
    <w:p w:rsidR="00932C6E" w:rsidRDefault="00932C6E">
      <w:pPr>
        <w:pStyle w:val="BodyText"/>
        <w:spacing w:after="0"/>
        <w:jc w:val="both"/>
      </w:pPr>
    </w:p>
    <w:p w:rsidR="00932C6E" w:rsidRDefault="0026326A">
      <w:pPr>
        <w:pStyle w:val="BodyText"/>
        <w:spacing w:after="0"/>
        <w:jc w:val="both"/>
      </w:pPr>
      <w:r>
        <w:t xml:space="preserve">Both the tenant and landlord will have future needs that are unknowable at the outset.  In this class we will focus on physical changes to the premises and the building.  They may be made at the outset of the lease, during the term, or upon termination and surrender.  We will also explore tenant’s rights of assignment and subletting (an increasingly complex subject), and options for changing tenant’s premises.  The latter can include expansions, reductions in space, and/or relocations. As we will see, these matters affect landlord’s ability to control and manage the building, and tenant’s ability to conduct its business.  </w:t>
      </w:r>
    </w:p>
    <w:p w:rsidR="00932C6E" w:rsidRDefault="00932C6E">
      <w:pPr>
        <w:pStyle w:val="BodyText"/>
        <w:spacing w:after="0"/>
        <w:jc w:val="both"/>
      </w:pPr>
    </w:p>
    <w:p w:rsidR="00932C6E" w:rsidRDefault="0026326A">
      <w:pPr>
        <w:pStyle w:val="Heading1"/>
        <w:numPr>
          <w:ilvl w:val="0"/>
          <w:numId w:val="13"/>
        </w:numPr>
        <w:spacing w:after="160"/>
        <w:rPr>
          <w:b/>
        </w:rPr>
      </w:pPr>
      <w:r>
        <w:rPr>
          <w:b/>
        </w:rPr>
        <w:t>Alterations</w:t>
      </w:r>
    </w:p>
    <w:p w:rsidR="00932C6E" w:rsidRDefault="00932C6E">
      <w:pPr>
        <w:pStyle w:val="Heading1"/>
        <w:numPr>
          <w:ilvl w:val="0"/>
          <w:numId w:val="0"/>
        </w:numPr>
        <w:spacing w:after="160"/>
        <w:ind w:left="720"/>
        <w:rPr>
          <w:b/>
        </w:rPr>
      </w:pPr>
    </w:p>
    <w:p w:rsidR="00932C6E" w:rsidRDefault="0026326A">
      <w:pPr>
        <w:pStyle w:val="Heading1"/>
        <w:spacing w:after="160"/>
        <w:rPr>
          <w:b/>
        </w:rPr>
      </w:pPr>
      <w:r>
        <w:rPr>
          <w:b/>
        </w:rPr>
        <w:t>Assignment and Subletting</w:t>
      </w:r>
    </w:p>
    <w:p w:rsidR="00932C6E" w:rsidRDefault="00932C6E">
      <w:pPr>
        <w:pStyle w:val="Heading1"/>
        <w:numPr>
          <w:ilvl w:val="0"/>
          <w:numId w:val="0"/>
        </w:numPr>
        <w:spacing w:after="160"/>
        <w:ind w:left="720"/>
        <w:rPr>
          <w:b/>
        </w:rPr>
      </w:pPr>
    </w:p>
    <w:p w:rsidR="00932C6E" w:rsidRDefault="0026326A">
      <w:pPr>
        <w:pStyle w:val="Heading1"/>
        <w:spacing w:after="160"/>
        <w:rPr>
          <w:b/>
        </w:rPr>
      </w:pPr>
      <w:r>
        <w:rPr>
          <w:b/>
        </w:rPr>
        <w:t>Space Options</w:t>
      </w:r>
    </w:p>
    <w:p w:rsidR="00932C6E" w:rsidRDefault="0026326A">
      <w:pPr>
        <w:spacing w:after="0"/>
        <w:rPr>
          <w:bCs/>
          <w:szCs w:val="28"/>
        </w:rPr>
      </w:pPr>
      <w:r>
        <w:br w:type="page"/>
      </w:r>
    </w:p>
    <w:p w:rsidR="00932C6E" w:rsidRDefault="0026326A">
      <w:pPr>
        <w:pStyle w:val="BodyText"/>
        <w:spacing w:after="0"/>
        <w:jc w:val="center"/>
        <w:rPr>
          <w:b/>
        </w:rPr>
      </w:pPr>
      <w:r>
        <w:rPr>
          <w:b/>
        </w:rPr>
        <w:lastRenderedPageBreak/>
        <w:t>COMMERCIAL LEASING</w:t>
      </w:r>
      <w:r>
        <w:rPr>
          <w:b/>
        </w:rPr>
        <w:br/>
      </w:r>
      <w:r>
        <w:rPr>
          <w:b/>
        </w:rPr>
        <w:br/>
        <w:t>COURSE PLA 6375</w:t>
      </w:r>
    </w:p>
    <w:p w:rsidR="00932C6E" w:rsidRDefault="0026326A">
      <w:pPr>
        <w:pStyle w:val="BodyText"/>
        <w:spacing w:after="0"/>
        <w:jc w:val="center"/>
        <w:rPr>
          <w:b/>
        </w:rPr>
      </w:pPr>
      <w:r>
        <w:rPr>
          <w:b/>
        </w:rPr>
        <w:t>April 1</w:t>
      </w:r>
      <w:r w:rsidR="00DE11FE">
        <w:rPr>
          <w:b/>
        </w:rPr>
        <w:t>7</w:t>
      </w:r>
      <w:r>
        <w:rPr>
          <w:b/>
        </w:rPr>
        <w:t>, 201</w:t>
      </w:r>
      <w:r w:rsidR="00DE11FE">
        <w:rPr>
          <w:b/>
        </w:rPr>
        <w:t>8</w:t>
      </w:r>
    </w:p>
    <w:p w:rsidR="00932C6E" w:rsidRDefault="00932C6E">
      <w:pPr>
        <w:pStyle w:val="BodyText"/>
        <w:spacing w:after="0"/>
        <w:jc w:val="center"/>
        <w:rPr>
          <w:b/>
          <w:u w:val="single"/>
        </w:rPr>
      </w:pPr>
    </w:p>
    <w:p w:rsidR="00932C6E" w:rsidRDefault="0026326A">
      <w:pPr>
        <w:pStyle w:val="BodyText"/>
        <w:spacing w:after="0"/>
        <w:jc w:val="center"/>
        <w:rPr>
          <w:b/>
          <w:u w:val="single"/>
        </w:rPr>
      </w:pPr>
      <w:r>
        <w:rPr>
          <w:b/>
          <w:u w:val="single"/>
        </w:rPr>
        <w:t>VOLUME VI:   DEFAULTS, LIABILITY AND TERMINATION</w:t>
      </w:r>
    </w:p>
    <w:p w:rsidR="00932C6E" w:rsidRDefault="00932C6E">
      <w:pPr>
        <w:pStyle w:val="Heading1"/>
        <w:numPr>
          <w:ilvl w:val="0"/>
          <w:numId w:val="0"/>
        </w:numPr>
        <w:tabs>
          <w:tab w:val="left" w:pos="4320"/>
        </w:tabs>
        <w:spacing w:after="0"/>
        <w:ind w:left="720" w:hanging="720"/>
        <w:jc w:val="both"/>
      </w:pPr>
    </w:p>
    <w:p w:rsidR="00932C6E" w:rsidRDefault="0026326A">
      <w:pPr>
        <w:pStyle w:val="Heading1"/>
        <w:numPr>
          <w:ilvl w:val="0"/>
          <w:numId w:val="0"/>
        </w:numPr>
        <w:tabs>
          <w:tab w:val="left" w:pos="4320"/>
        </w:tabs>
        <w:spacing w:after="0"/>
        <w:jc w:val="both"/>
      </w:pPr>
      <w:r>
        <w:t xml:space="preserve">We will first look, briefly, at what happens if there is a bankruptcy of the landlord or the tenant. We will then look at failures to perform or comply with provisions of the lease, considering what happens when a default occurs and enforcement of remedies is sought. How landlord (and to a lesser extent, tenant) can limit exposure is an intertwined theme. </w:t>
      </w:r>
    </w:p>
    <w:p w:rsidR="00932C6E" w:rsidRDefault="00932C6E">
      <w:pPr>
        <w:pStyle w:val="Heading1"/>
        <w:numPr>
          <w:ilvl w:val="0"/>
          <w:numId w:val="0"/>
        </w:numPr>
        <w:tabs>
          <w:tab w:val="left" w:pos="4320"/>
        </w:tabs>
        <w:spacing w:after="0"/>
        <w:jc w:val="both"/>
      </w:pPr>
    </w:p>
    <w:p w:rsidR="00932C6E" w:rsidRDefault="00932C6E">
      <w:pPr>
        <w:pStyle w:val="Heading1"/>
        <w:numPr>
          <w:ilvl w:val="0"/>
          <w:numId w:val="0"/>
        </w:numPr>
        <w:tabs>
          <w:tab w:val="left" w:pos="4320"/>
        </w:tabs>
        <w:spacing w:after="0"/>
        <w:ind w:left="720" w:hanging="720"/>
        <w:jc w:val="both"/>
      </w:pPr>
    </w:p>
    <w:p w:rsidR="00932C6E" w:rsidRDefault="0026326A">
      <w:pPr>
        <w:pStyle w:val="Heading1"/>
        <w:numPr>
          <w:ilvl w:val="0"/>
          <w:numId w:val="13"/>
        </w:numPr>
        <w:spacing w:after="160"/>
        <w:rPr>
          <w:b/>
        </w:rPr>
      </w:pPr>
      <w:r>
        <w:rPr>
          <w:b/>
        </w:rPr>
        <w:t>Bankruptcy</w:t>
      </w:r>
    </w:p>
    <w:p w:rsidR="00932C6E" w:rsidRDefault="00932C6E">
      <w:pPr>
        <w:pStyle w:val="Heading1"/>
        <w:numPr>
          <w:ilvl w:val="0"/>
          <w:numId w:val="0"/>
        </w:numPr>
        <w:spacing w:after="160"/>
        <w:ind w:left="720"/>
        <w:rPr>
          <w:b/>
        </w:rPr>
      </w:pPr>
    </w:p>
    <w:p w:rsidR="00932C6E" w:rsidRDefault="0026326A">
      <w:pPr>
        <w:pStyle w:val="Heading1"/>
        <w:spacing w:after="160"/>
        <w:rPr>
          <w:b/>
        </w:rPr>
      </w:pPr>
      <w:r>
        <w:rPr>
          <w:b/>
        </w:rPr>
        <w:t>Defaults</w:t>
      </w:r>
    </w:p>
    <w:p w:rsidR="00932C6E" w:rsidRDefault="00932C6E">
      <w:pPr>
        <w:pStyle w:val="Heading1"/>
        <w:numPr>
          <w:ilvl w:val="0"/>
          <w:numId w:val="0"/>
        </w:numPr>
        <w:spacing w:after="160"/>
        <w:ind w:left="720"/>
        <w:rPr>
          <w:b/>
        </w:rPr>
      </w:pPr>
    </w:p>
    <w:p w:rsidR="00932C6E" w:rsidRDefault="0026326A">
      <w:pPr>
        <w:pStyle w:val="Heading1"/>
        <w:spacing w:after="160"/>
        <w:rPr>
          <w:b/>
        </w:rPr>
      </w:pPr>
      <w:r>
        <w:rPr>
          <w:b/>
        </w:rPr>
        <w:t>Liability and Limitations on Liability</w:t>
      </w:r>
    </w:p>
    <w:p w:rsidR="00932C6E" w:rsidRDefault="00932C6E">
      <w:pPr>
        <w:pStyle w:val="Heading1"/>
        <w:numPr>
          <w:ilvl w:val="0"/>
          <w:numId w:val="0"/>
        </w:numPr>
        <w:spacing w:after="160"/>
        <w:ind w:left="720"/>
        <w:rPr>
          <w:b/>
        </w:rPr>
      </w:pPr>
    </w:p>
    <w:p w:rsidR="00932C6E" w:rsidRDefault="0026326A">
      <w:pPr>
        <w:pStyle w:val="Heading1"/>
        <w:spacing w:after="160"/>
        <w:rPr>
          <w:b/>
        </w:rPr>
      </w:pPr>
      <w:r>
        <w:rPr>
          <w:b/>
        </w:rPr>
        <w:t>Surrender</w:t>
      </w:r>
    </w:p>
    <w:p w:rsidR="00932C6E" w:rsidRDefault="00932C6E">
      <w:pPr>
        <w:pStyle w:val="Heading1"/>
        <w:numPr>
          <w:ilvl w:val="0"/>
          <w:numId w:val="0"/>
        </w:numPr>
        <w:tabs>
          <w:tab w:val="left" w:pos="4320"/>
        </w:tabs>
        <w:spacing w:after="0"/>
        <w:ind w:left="720" w:hanging="720"/>
        <w:jc w:val="both"/>
      </w:pPr>
    </w:p>
    <w:sectPr w:rsidR="00932C6E">
      <w:pgSz w:w="12240" w:h="15840" w:code="1"/>
      <w:pgMar w:top="1440" w:right="1440" w:bottom="1440" w:left="1440" w:header="0"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6E" w:rsidRDefault="0026326A">
      <w:pPr>
        <w:spacing w:after="0"/>
      </w:pPr>
      <w:r>
        <w:separator/>
      </w:r>
    </w:p>
  </w:endnote>
  <w:endnote w:type="continuationSeparator" w:id="0">
    <w:p w:rsidR="00932C6E" w:rsidRDefault="002632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6E" w:rsidRDefault="00932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6E" w:rsidRDefault="00932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6E" w:rsidRDefault="0026326A">
    <w:pPr>
      <w:pStyle w:val="Footer"/>
    </w:pPr>
    <w:r>
      <w:fldChar w:fldCharType="begin"/>
    </w:r>
    <w:r>
      <w:instrText xml:space="preserve"> DOCPROPERTY "DocID" \* MERGEFORMAT </w:instrText>
    </w:r>
    <w:r>
      <w:fldChar w:fldCharType="separate"/>
    </w:r>
    <w:r w:rsidRPr="0026326A">
      <w:rPr>
        <w:rStyle w:val="DocID"/>
      </w:rPr>
      <w:t xml:space="preserve">ACTIVE </w:t>
    </w:r>
    <w:proofErr w:type="spellStart"/>
    <w:r w:rsidRPr="0026326A">
      <w:rPr>
        <w:rStyle w:val="DocID"/>
      </w:rPr>
      <w:t>211797487v.10</w:t>
    </w:r>
    <w:proofErr w:type="spellEnd"/>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6E" w:rsidRDefault="0026326A">
      <w:pPr>
        <w:spacing w:after="0"/>
      </w:pPr>
      <w:r>
        <w:separator/>
      </w:r>
    </w:p>
  </w:footnote>
  <w:footnote w:type="continuationSeparator" w:id="0">
    <w:p w:rsidR="00932C6E" w:rsidRDefault="002632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6E" w:rsidRDefault="00932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6E" w:rsidRDefault="00932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6E" w:rsidRDefault="00932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581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CB217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FE12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3CBA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4208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728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2DD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FE5F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00000012"/>
    <w:multiLevelType w:val="multilevel"/>
    <w:tmpl w:val="A7085330"/>
    <w:lvl w:ilvl="0">
      <w:start w:val="1"/>
      <w:numFmt w:val="upperRoman"/>
      <w:lvlText w:val="%1."/>
      <w:lvlJc w:val="left"/>
      <w:pPr>
        <w:tabs>
          <w:tab w:val="num" w:pos="720"/>
        </w:tabs>
        <w:ind w:left="720" w:hanging="720"/>
      </w:pPr>
      <w:rPr>
        <w:rFonts w:cs="Times New Roman" w:hint="eastAsia"/>
        <w:b/>
        <w:i w:val="0"/>
        <w:caps w:val="0"/>
        <w:color w:val="010000"/>
        <w:spacing w:val="0"/>
        <w:u w:val="none"/>
      </w:rPr>
    </w:lvl>
    <w:lvl w:ilvl="1">
      <w:start w:val="1"/>
      <w:numFmt w:val="upperLetter"/>
      <w:lvlText w:val="%2."/>
      <w:lvlJc w:val="left"/>
      <w:pPr>
        <w:tabs>
          <w:tab w:val="num" w:pos="1440"/>
        </w:tabs>
        <w:ind w:left="1440" w:hanging="720"/>
      </w:pPr>
      <w:rPr>
        <w:rFonts w:cs="Times New Roman" w:hint="eastAsia"/>
        <w:b w:val="0"/>
        <w:i w:val="0"/>
        <w:caps w:val="0"/>
        <w:color w:val="010000"/>
        <w:spacing w:val="0"/>
        <w:u w:val="none"/>
      </w:rPr>
    </w:lvl>
    <w:lvl w:ilvl="2">
      <w:start w:val="1"/>
      <w:numFmt w:val="decimal"/>
      <w:lvlText w:val="%3."/>
      <w:lvlJc w:val="left"/>
      <w:pPr>
        <w:tabs>
          <w:tab w:val="num" w:pos="2160"/>
        </w:tabs>
        <w:ind w:left="2160" w:hanging="720"/>
      </w:pPr>
      <w:rPr>
        <w:rFonts w:cs="Times New Roman" w:hint="eastAsia"/>
        <w:b w:val="0"/>
        <w:i w:val="0"/>
        <w:caps w:val="0"/>
        <w:color w:val="010000"/>
        <w:spacing w:val="0"/>
        <w:u w:val="none"/>
      </w:rPr>
    </w:lvl>
    <w:lvl w:ilvl="3">
      <w:start w:val="1"/>
      <w:numFmt w:val="lowerLetter"/>
      <w:lvlText w:val="%4."/>
      <w:lvlJc w:val="left"/>
      <w:pPr>
        <w:tabs>
          <w:tab w:val="num" w:pos="2880"/>
        </w:tabs>
        <w:ind w:left="2880" w:hanging="720"/>
      </w:pPr>
      <w:rPr>
        <w:rFonts w:cs="Times New Roman" w:hint="eastAsia"/>
        <w:b w:val="0"/>
        <w:i w:val="0"/>
        <w:caps w:val="0"/>
        <w:color w:val="010000"/>
        <w:spacing w:val="0"/>
        <w:u w:val="none"/>
      </w:rPr>
    </w:lvl>
    <w:lvl w:ilvl="4">
      <w:start w:val="1"/>
      <w:numFmt w:val="lowerRoman"/>
      <w:lvlText w:val="(%5)"/>
      <w:lvlJc w:val="left"/>
      <w:pPr>
        <w:tabs>
          <w:tab w:val="num" w:pos="3600"/>
        </w:tabs>
        <w:ind w:left="3600" w:hanging="720"/>
      </w:pPr>
      <w:rPr>
        <w:rFonts w:cs="Times New Roman" w:hint="eastAsia"/>
        <w:b w:val="0"/>
        <w:i w:val="0"/>
        <w:caps w:val="0"/>
        <w:color w:val="010000"/>
        <w:spacing w:val="0"/>
        <w:u w:val="none"/>
      </w:rPr>
    </w:lvl>
    <w:lvl w:ilvl="5">
      <w:start w:val="1"/>
      <w:numFmt w:val="lowerLetter"/>
      <w:lvlText w:val="(%6)"/>
      <w:lvlJc w:val="left"/>
      <w:pPr>
        <w:tabs>
          <w:tab w:val="num" w:pos="4320"/>
        </w:tabs>
        <w:ind w:left="4320" w:hanging="720"/>
      </w:pPr>
      <w:rPr>
        <w:rFonts w:cs="Times New Roman" w:hint="eastAsia"/>
        <w:b w:val="0"/>
        <w:i w:val="0"/>
        <w:caps w:val="0"/>
        <w:color w:val="010000"/>
        <w:spacing w:val="0"/>
        <w:u w:val="none"/>
      </w:rPr>
    </w:lvl>
    <w:lvl w:ilvl="6">
      <w:start w:val="1"/>
      <w:numFmt w:val="decimal"/>
      <w:lvlText w:val="(%7)"/>
      <w:lvlJc w:val="left"/>
      <w:pPr>
        <w:tabs>
          <w:tab w:val="num" w:pos="5040"/>
        </w:tabs>
        <w:ind w:left="5040" w:hanging="720"/>
      </w:pPr>
      <w:rPr>
        <w:rFonts w:cs="Times New Roman" w:hint="eastAsia"/>
        <w:b w:val="0"/>
        <w:i w:val="0"/>
        <w:caps w:val="0"/>
        <w:color w:val="010000"/>
        <w:spacing w:val="0"/>
        <w:u w:val="none"/>
      </w:rPr>
    </w:lvl>
    <w:lvl w:ilvl="7">
      <w:start w:val="1"/>
      <w:numFmt w:val="lowerRoman"/>
      <w:lvlText w:val="%8)"/>
      <w:lvlJc w:val="left"/>
      <w:pPr>
        <w:tabs>
          <w:tab w:val="num" w:pos="5760"/>
        </w:tabs>
        <w:ind w:left="5760" w:hanging="720"/>
      </w:pPr>
      <w:rPr>
        <w:rFonts w:cs="Times New Roman" w:hint="eastAsia"/>
        <w:b w:val="0"/>
        <w:i w:val="0"/>
        <w:caps w:val="0"/>
        <w:color w:val="010000"/>
        <w:spacing w:val="0"/>
        <w:u w:val="none"/>
      </w:rPr>
    </w:lvl>
    <w:lvl w:ilvl="8">
      <w:start w:val="1"/>
      <w:numFmt w:val="lowerLetter"/>
      <w:lvlText w:val="%9)"/>
      <w:lvlJc w:val="left"/>
      <w:pPr>
        <w:tabs>
          <w:tab w:val="num" w:pos="6480"/>
        </w:tabs>
        <w:ind w:left="6480" w:hanging="720"/>
      </w:pPr>
      <w:rPr>
        <w:rFonts w:cs="Times New Roman" w:hint="eastAsia"/>
        <w:b w:val="0"/>
        <w:i w:val="0"/>
        <w:caps w:val="0"/>
        <w:color w:val="010000"/>
        <w:spacing w:val="0"/>
        <w:u w:val="none"/>
      </w:rPr>
    </w:lvl>
  </w:abstractNum>
  <w:abstractNum w:abstractNumId="11"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15:restartNumberingAfterBreak="0">
    <w:nsid w:val="569C6654"/>
    <w:multiLevelType w:val="multilevel"/>
    <w:tmpl w:val="CCB4BBE6"/>
    <w:name w:val="Harvard"/>
    <w:lvl w:ilvl="0">
      <w:start w:val="1"/>
      <w:numFmt w:val="upperRoman"/>
      <w:pStyle w:val="Heading1"/>
      <w:lvlText w:val="%1."/>
      <w:lvlJc w:val="left"/>
      <w:pPr>
        <w:tabs>
          <w:tab w:val="num" w:pos="720"/>
        </w:tabs>
        <w:ind w:left="720" w:hanging="720"/>
      </w:pPr>
      <w:rPr>
        <w:rFonts w:hint="default"/>
        <w:b/>
        <w:i w:val="0"/>
        <w:caps w:val="0"/>
        <w:color w:val="010000"/>
        <w:u w:val="none"/>
      </w:rPr>
    </w:lvl>
    <w:lvl w:ilvl="1">
      <w:start w:val="1"/>
      <w:numFmt w:val="upperLetter"/>
      <w:pStyle w:val="Heading2"/>
      <w:lvlText w:val="%2."/>
      <w:lvlJc w:val="left"/>
      <w:pPr>
        <w:tabs>
          <w:tab w:val="num" w:pos="1440"/>
        </w:tabs>
        <w:ind w:left="1440" w:hanging="720"/>
      </w:pPr>
      <w:rPr>
        <w:rFonts w:hint="default"/>
        <w:b w:val="0"/>
        <w:i w:val="0"/>
        <w:caps w:val="0"/>
        <w:color w:val="010000"/>
        <w:u w:val="none"/>
      </w:rPr>
    </w:lvl>
    <w:lvl w:ilvl="2">
      <w:start w:val="1"/>
      <w:numFmt w:val="decimal"/>
      <w:pStyle w:val="Heading3"/>
      <w:lvlText w:val="%3."/>
      <w:lvlJc w:val="left"/>
      <w:pPr>
        <w:tabs>
          <w:tab w:val="num" w:pos="2160"/>
        </w:tabs>
        <w:ind w:left="2160" w:hanging="720"/>
      </w:pPr>
      <w:rPr>
        <w:rFonts w:hint="default"/>
        <w:b w:val="0"/>
        <w:i w:val="0"/>
        <w:caps w:val="0"/>
        <w:color w:val="010000"/>
        <w:u w:val="none"/>
      </w:rPr>
    </w:lvl>
    <w:lvl w:ilvl="3">
      <w:start w:val="1"/>
      <w:numFmt w:val="lowerLetter"/>
      <w:pStyle w:val="Heading4"/>
      <w:lvlText w:val="%4."/>
      <w:lvlJc w:val="left"/>
      <w:pPr>
        <w:tabs>
          <w:tab w:val="num" w:pos="2880"/>
        </w:tabs>
        <w:ind w:left="2880" w:hanging="720"/>
      </w:pPr>
      <w:rPr>
        <w:rFonts w:hint="default"/>
        <w:b w:val="0"/>
        <w:i w:val="0"/>
        <w:caps w:val="0"/>
        <w:color w:val="010000"/>
        <w:u w:val="none"/>
      </w:rPr>
    </w:lvl>
    <w:lvl w:ilvl="4">
      <w:start w:val="1"/>
      <w:numFmt w:val="lowerRoman"/>
      <w:pStyle w:val="Heading5"/>
      <w:lvlText w:val="(%5)"/>
      <w:lvlJc w:val="left"/>
      <w:pPr>
        <w:tabs>
          <w:tab w:val="num" w:pos="3600"/>
        </w:tabs>
        <w:ind w:left="3600" w:hanging="720"/>
      </w:pPr>
      <w:rPr>
        <w:rFonts w:hint="default"/>
        <w:b w:val="0"/>
        <w:i w:val="0"/>
        <w:caps w:val="0"/>
        <w:color w:val="010000"/>
        <w:u w:val="none"/>
      </w:rPr>
    </w:lvl>
    <w:lvl w:ilvl="5">
      <w:start w:val="1"/>
      <w:numFmt w:val="lowerLetter"/>
      <w:pStyle w:val="Heading6"/>
      <w:lvlText w:val="(%6)"/>
      <w:lvlJc w:val="left"/>
      <w:pPr>
        <w:tabs>
          <w:tab w:val="num" w:pos="4320"/>
        </w:tabs>
        <w:ind w:left="4320" w:hanging="720"/>
      </w:pPr>
      <w:rPr>
        <w:rFonts w:hint="default"/>
        <w:b w:val="0"/>
        <w:i w:val="0"/>
        <w:caps w:val="0"/>
        <w:color w:val="010000"/>
        <w:u w:val="none"/>
      </w:rPr>
    </w:lvl>
    <w:lvl w:ilvl="6">
      <w:start w:val="1"/>
      <w:numFmt w:val="decimal"/>
      <w:pStyle w:val="Heading7"/>
      <w:lvlText w:val="(%7)"/>
      <w:lvlJc w:val="left"/>
      <w:pPr>
        <w:tabs>
          <w:tab w:val="num" w:pos="5040"/>
        </w:tabs>
        <w:ind w:left="5040" w:hanging="720"/>
      </w:pPr>
      <w:rPr>
        <w:rFonts w:hint="default"/>
        <w:b w:val="0"/>
        <w:i w:val="0"/>
        <w:caps w:val="0"/>
        <w:color w:val="010000"/>
        <w:u w:val="none"/>
      </w:rPr>
    </w:lvl>
    <w:lvl w:ilvl="7">
      <w:start w:val="1"/>
      <w:numFmt w:val="lowerRoman"/>
      <w:pStyle w:val="Heading8"/>
      <w:lvlText w:val="%8)"/>
      <w:lvlJc w:val="left"/>
      <w:pPr>
        <w:tabs>
          <w:tab w:val="num" w:pos="5760"/>
        </w:tabs>
        <w:ind w:left="5760" w:hanging="720"/>
      </w:pPr>
      <w:rPr>
        <w:rFonts w:hint="default"/>
        <w:b w:val="0"/>
        <w:i w:val="0"/>
        <w:caps w:val="0"/>
        <w:color w:val="010000"/>
        <w:u w:val="none"/>
      </w:rPr>
    </w:lvl>
    <w:lvl w:ilvl="8">
      <w:start w:val="1"/>
      <w:numFmt w:val="lowerLetter"/>
      <w:pStyle w:val="Heading9"/>
      <w:lvlText w:val="%9)"/>
      <w:lvlJc w:val="left"/>
      <w:pPr>
        <w:tabs>
          <w:tab w:val="num" w:pos="6480"/>
        </w:tabs>
        <w:ind w:left="6480" w:hanging="720"/>
      </w:pPr>
      <w:rPr>
        <w:rFonts w:hint="default"/>
        <w:b w:val="0"/>
        <w:i w:val="0"/>
        <w:caps w:val="0"/>
        <w:color w:val="010000"/>
        <w:u w:val="none"/>
      </w:rPr>
    </w:lvl>
  </w:abstractNum>
  <w:abstractNum w:abstractNumId="13"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SortMethod w:val="0000"/>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932C6E"/>
    <w:rsid w:val="0026326A"/>
    <w:rsid w:val="00932C6E"/>
    <w:rsid w:val="00DE11FE"/>
    <w:rsid w:val="00F00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3EAE3A16"/>
  <w15:docId w15:val="{152A4E28-C326-4C0D-ADD9-2DDCF3B3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szCs w:val="24"/>
    </w:rPr>
  </w:style>
  <w:style w:type="paragraph" w:styleId="Heading1">
    <w:name w:val="heading 1"/>
    <w:basedOn w:val="Normal"/>
    <w:link w:val="Heading1Char"/>
    <w:uiPriority w:val="9"/>
    <w:qFormat/>
    <w:pPr>
      <w:numPr>
        <w:numId w:val="12"/>
      </w:numPr>
      <w:outlineLvl w:val="0"/>
    </w:pPr>
    <w:rPr>
      <w:bCs/>
      <w:szCs w:val="28"/>
    </w:rPr>
  </w:style>
  <w:style w:type="paragraph" w:styleId="Heading2">
    <w:name w:val="heading 2"/>
    <w:basedOn w:val="Normal"/>
    <w:link w:val="Heading2Char"/>
    <w:uiPriority w:val="9"/>
    <w:unhideWhenUsed/>
    <w:qFormat/>
    <w:pPr>
      <w:numPr>
        <w:ilvl w:val="1"/>
        <w:numId w:val="12"/>
      </w:numPr>
      <w:outlineLvl w:val="1"/>
    </w:pPr>
    <w:rPr>
      <w:bCs/>
      <w:szCs w:val="26"/>
    </w:rPr>
  </w:style>
  <w:style w:type="paragraph" w:styleId="Heading3">
    <w:name w:val="heading 3"/>
    <w:basedOn w:val="Normal"/>
    <w:link w:val="Heading3Char"/>
    <w:uiPriority w:val="9"/>
    <w:semiHidden/>
    <w:unhideWhenUsed/>
    <w:qFormat/>
    <w:pPr>
      <w:numPr>
        <w:ilvl w:val="2"/>
        <w:numId w:val="12"/>
      </w:numPr>
      <w:outlineLvl w:val="2"/>
    </w:pPr>
    <w:rPr>
      <w:bCs/>
    </w:rPr>
  </w:style>
  <w:style w:type="paragraph" w:styleId="Heading4">
    <w:name w:val="heading 4"/>
    <w:basedOn w:val="Normal"/>
    <w:link w:val="Heading4Char"/>
    <w:uiPriority w:val="9"/>
    <w:semiHidden/>
    <w:unhideWhenUsed/>
    <w:qFormat/>
    <w:pPr>
      <w:numPr>
        <w:ilvl w:val="3"/>
        <w:numId w:val="12"/>
      </w:numPr>
      <w:outlineLvl w:val="3"/>
    </w:pPr>
    <w:rPr>
      <w:bCs/>
      <w:iCs/>
    </w:rPr>
  </w:style>
  <w:style w:type="paragraph" w:styleId="Heading5">
    <w:name w:val="heading 5"/>
    <w:basedOn w:val="Normal"/>
    <w:link w:val="Heading5Char"/>
    <w:uiPriority w:val="9"/>
    <w:semiHidden/>
    <w:unhideWhenUsed/>
    <w:qFormat/>
    <w:pPr>
      <w:numPr>
        <w:ilvl w:val="4"/>
        <w:numId w:val="12"/>
      </w:numPr>
      <w:outlineLvl w:val="4"/>
    </w:pPr>
  </w:style>
  <w:style w:type="paragraph" w:styleId="Heading6">
    <w:name w:val="heading 6"/>
    <w:basedOn w:val="Normal"/>
    <w:link w:val="Heading6Char"/>
    <w:uiPriority w:val="9"/>
    <w:semiHidden/>
    <w:unhideWhenUsed/>
    <w:qFormat/>
    <w:pPr>
      <w:numPr>
        <w:ilvl w:val="5"/>
        <w:numId w:val="12"/>
      </w:numPr>
      <w:outlineLvl w:val="5"/>
    </w:pPr>
    <w:rPr>
      <w:iCs/>
    </w:rPr>
  </w:style>
  <w:style w:type="paragraph" w:styleId="Heading7">
    <w:name w:val="heading 7"/>
    <w:basedOn w:val="Normal"/>
    <w:link w:val="Heading7Char"/>
    <w:uiPriority w:val="9"/>
    <w:semiHidden/>
    <w:unhideWhenUsed/>
    <w:qFormat/>
    <w:pPr>
      <w:numPr>
        <w:ilvl w:val="6"/>
        <w:numId w:val="12"/>
      </w:numPr>
      <w:outlineLvl w:val="6"/>
    </w:pPr>
    <w:rPr>
      <w:iCs/>
    </w:rPr>
  </w:style>
  <w:style w:type="paragraph" w:styleId="Heading8">
    <w:name w:val="heading 8"/>
    <w:basedOn w:val="Normal"/>
    <w:link w:val="Heading8Char"/>
    <w:uiPriority w:val="9"/>
    <w:semiHidden/>
    <w:unhideWhenUsed/>
    <w:qFormat/>
    <w:pPr>
      <w:numPr>
        <w:ilvl w:val="7"/>
        <w:numId w:val="12"/>
      </w:numPr>
      <w:outlineLvl w:val="7"/>
    </w:pPr>
    <w:rPr>
      <w:szCs w:val="20"/>
    </w:rPr>
  </w:style>
  <w:style w:type="paragraph" w:styleId="Heading9">
    <w:name w:val="heading 9"/>
    <w:basedOn w:val="Normal"/>
    <w:link w:val="Heading9Char"/>
    <w:uiPriority w:val="9"/>
    <w:semiHidden/>
    <w:unhideWhenUsed/>
    <w:qFormat/>
    <w:pPr>
      <w:numPr>
        <w:ilvl w:val="8"/>
        <w:numId w:val="12"/>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bCs/>
      <w:sz w:val="24"/>
      <w:szCs w:val="28"/>
    </w:rPr>
  </w:style>
  <w:style w:type="character" w:customStyle="1" w:styleId="Heading2Char">
    <w:name w:val="Heading 2 Char"/>
    <w:basedOn w:val="DefaultParagraphFont"/>
    <w:link w:val="Heading2"/>
    <w:uiPriority w:val="9"/>
    <w:semiHidden/>
    <w:rPr>
      <w:bCs/>
      <w:sz w:val="24"/>
      <w:szCs w:val="26"/>
    </w:rPr>
  </w:style>
  <w:style w:type="character" w:customStyle="1" w:styleId="Heading3Char">
    <w:name w:val="Heading 3 Char"/>
    <w:basedOn w:val="DefaultParagraphFont"/>
    <w:link w:val="Heading3"/>
    <w:uiPriority w:val="9"/>
    <w:semiHidden/>
    <w:rPr>
      <w:bCs/>
      <w:sz w:val="24"/>
      <w:szCs w:val="24"/>
    </w:rPr>
  </w:style>
  <w:style w:type="character" w:customStyle="1" w:styleId="Heading4Char">
    <w:name w:val="Heading 4 Char"/>
    <w:basedOn w:val="DefaultParagraphFont"/>
    <w:link w:val="Heading4"/>
    <w:uiPriority w:val="9"/>
    <w:semiHidden/>
    <w:rPr>
      <w:bCs/>
      <w:iCs/>
      <w:sz w:val="24"/>
      <w:szCs w:val="24"/>
    </w:rPr>
  </w:style>
  <w:style w:type="character" w:customStyle="1" w:styleId="Heading5Char">
    <w:name w:val="Heading 5 Char"/>
    <w:basedOn w:val="DefaultParagraphFont"/>
    <w:link w:val="Heading5"/>
    <w:uiPriority w:val="9"/>
    <w:semiHidden/>
    <w:rPr>
      <w:sz w:val="24"/>
      <w:szCs w:val="24"/>
    </w:rPr>
  </w:style>
  <w:style w:type="character" w:customStyle="1" w:styleId="Heading6Char">
    <w:name w:val="Heading 6 Char"/>
    <w:basedOn w:val="DefaultParagraphFont"/>
    <w:link w:val="Heading6"/>
    <w:uiPriority w:val="9"/>
    <w:semiHidden/>
    <w:rPr>
      <w:iCs/>
      <w:sz w:val="24"/>
      <w:szCs w:val="24"/>
    </w:rPr>
  </w:style>
  <w:style w:type="character" w:customStyle="1" w:styleId="Heading7Char">
    <w:name w:val="Heading 7 Char"/>
    <w:basedOn w:val="DefaultParagraphFont"/>
    <w:link w:val="Heading7"/>
    <w:uiPriority w:val="9"/>
    <w:semiHidden/>
    <w:rPr>
      <w:iCs/>
      <w:sz w:val="24"/>
      <w:szCs w:val="24"/>
    </w:rPr>
  </w:style>
  <w:style w:type="character" w:customStyle="1" w:styleId="Heading8Char">
    <w:name w:val="Heading 8 Char"/>
    <w:basedOn w:val="DefaultParagraphFont"/>
    <w:link w:val="Heading8"/>
    <w:uiPriority w:val="9"/>
    <w:semiHidden/>
    <w:rPr>
      <w:sz w:val="24"/>
    </w:rPr>
  </w:style>
  <w:style w:type="character" w:customStyle="1" w:styleId="Heading9Char">
    <w:name w:val="Heading 9 Char"/>
    <w:basedOn w:val="DefaultParagraphFont"/>
    <w:link w:val="Heading9"/>
    <w:uiPriority w:val="9"/>
    <w:semiHidden/>
    <w:rPr>
      <w:iCs/>
      <w:sz w:val="24"/>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b/>
      <w:kern w:val="28"/>
      <w:szCs w:val="52"/>
    </w:rPr>
  </w:style>
  <w:style w:type="character" w:customStyle="1" w:styleId="TitleChar">
    <w:name w:val="Title Char"/>
    <w:basedOn w:val="DefaultParagraphFont"/>
    <w:link w:val="Title"/>
    <w:uiPriority w:val="10"/>
    <w:rPr>
      <w:rFonts w:ascii="Times New Roman" w:eastAsia="Times New Roman" w:hAnsi="Times New Roman" w:cs="Times New Roman"/>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i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Normal"/>
    <w:semiHidden/>
    <w:unhideWhenUsed/>
    <w:qFormat/>
    <w:pPr>
      <w:jc w:val="center"/>
    </w:pPr>
    <w:rPr>
      <w:b/>
      <w:szCs w:val="20"/>
    </w:rPr>
  </w:style>
  <w:style w:type="paragraph" w:customStyle="1" w:styleId="TOCPage">
    <w:name w:val="TOC Page"/>
    <w:basedOn w:val="Normal"/>
    <w:semiHidden/>
    <w:unhideWhenUsed/>
    <w:pPr>
      <w:jc w:val="right"/>
    </w:pPr>
    <w:rPr>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rPr>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character" w:styleId="FollowedHyperlink">
    <w:name w:val="FollowedHyperlink"/>
    <w:basedOn w:val="DefaultParagraphFont"/>
    <w:uiPriority w:val="99"/>
    <w:semiHidden/>
    <w:unhideWhenUsed/>
    <w:rPr>
      <w:color w:val="800080"/>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b/>
      <w:bCs/>
    </w:rPr>
  </w:style>
  <w:style w:type="character" w:styleId="IntenseEmphasis">
    <w:name w:val="Intense Emphasis"/>
    <w:basedOn w:val="DefaultParagraphFont"/>
    <w:uiPriority w:val="21"/>
    <w:semiHidden/>
    <w:unhideWhenUsed/>
    <w:qFormat/>
    <w:rPr>
      <w:b/>
      <w:bCs/>
      <w:i/>
      <w:iCs/>
      <w:color w:val="4F81BD"/>
    </w:rPr>
  </w:style>
  <w:style w:type="paragraph" w:styleId="IntenseQuote">
    <w:name w:val="Intense Quote"/>
    <w:basedOn w:val="Normal"/>
    <w:next w:val="Normal"/>
    <w:link w:val="IntenseQuoteChar"/>
    <w:uiPriority w:val="30"/>
    <w:semiHidden/>
    <w:unhideWhenUsed/>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Pr>
      <w:b/>
      <w:bCs/>
      <w:i/>
      <w:iCs/>
      <w:color w:val="4F81BD"/>
    </w:rPr>
  </w:style>
  <w:style w:type="character" w:styleId="IntenseReference">
    <w:name w:val="Intense Reference"/>
    <w:basedOn w:val="DefaultParagraphFont"/>
    <w:uiPriority w:val="32"/>
    <w:semiHidden/>
    <w:unhideWhenUsed/>
    <w:qFormat/>
    <w:rPr>
      <w:b/>
      <w:bCs/>
      <w:smallCaps/>
      <w:color w:val="C0504D"/>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Pr>
      <w:rFonts w:ascii="Consolas" w:hAnsi="Consolas"/>
      <w:lang w:val="en-US" w:eastAsia="en-US" w:bidi="ar-SA"/>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style>
  <w:style w:type="character" w:customStyle="1" w:styleId="MessageHeaderChar">
    <w:name w:val="Message Header Char"/>
    <w:basedOn w:val="DefaultParagraphFont"/>
    <w:link w:val="MessageHeader"/>
    <w:uiPriority w:val="99"/>
    <w:semiHidden/>
    <w:rPr>
      <w:rFonts w:ascii="Times New Roman" w:eastAsia="Times New Roman" w:hAnsi="Times New Roman" w:cs="Times New Roman"/>
      <w:shd w:val="pct20" w:color="auto" w:fill="auto"/>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semiHidden/>
    <w:unhideWhenUsed/>
    <w:qFormat/>
    <w:rPr>
      <w:i/>
      <w:iCs/>
      <w:color w:val="000000"/>
    </w:rPr>
  </w:style>
  <w:style w:type="character" w:customStyle="1" w:styleId="QuoteChar">
    <w:name w:val="Quote Char"/>
    <w:basedOn w:val="DefaultParagraphFont"/>
    <w:link w:val="Quote"/>
    <w:uiPriority w:val="29"/>
    <w:semiHidden/>
    <w:rPr>
      <w:i/>
      <w:iCs/>
      <w:color w:val="000000"/>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i/>
      <w:iCs/>
      <w:color w:val="4F81BD"/>
      <w:spacing w:val="15"/>
    </w:rPr>
  </w:style>
  <w:style w:type="character" w:customStyle="1" w:styleId="SubtitleChar">
    <w:name w:val="Subtitle Char"/>
    <w:basedOn w:val="DefaultParagraphFont"/>
    <w:link w:val="Subtitle"/>
    <w:uiPriority w:val="11"/>
    <w:semiHidden/>
    <w:rPr>
      <w:rFonts w:ascii="Times New Roman" w:eastAsia="Times New Roman" w:hAnsi="Times New Roman" w:cs="Times New Roman"/>
      <w:i/>
      <w:iCs/>
      <w:color w:val="4F81BD"/>
      <w:spacing w:val="15"/>
    </w:rPr>
  </w:style>
  <w:style w:type="character" w:styleId="SubtleEmphasis">
    <w:name w:val="Subtle Emphasis"/>
    <w:basedOn w:val="DefaultParagraphFont"/>
    <w:uiPriority w:val="19"/>
    <w:semiHidden/>
    <w:unhideWhenUsed/>
    <w:qFormat/>
    <w:rPr>
      <w:i/>
      <w:iCs/>
      <w:color w:val="808080"/>
    </w:rPr>
  </w:style>
  <w:style w:type="character" w:styleId="SubtleReference">
    <w:name w:val="Subtle Reference"/>
    <w:basedOn w:val="DefaultParagraphFont"/>
    <w:uiPriority w:val="31"/>
    <w:semiHidden/>
    <w:unhideWhenUsed/>
    <w:qFormat/>
    <w:rPr>
      <w:smallCaps/>
      <w:color w:val="C0504D"/>
      <w:u w:val="single"/>
    </w:rPr>
  </w:style>
  <w:style w:type="paragraph" w:customStyle="1" w:styleId="TitleCapitalNobold">
    <w:name w:val="Title Capital (No bold)"/>
    <w:basedOn w:val="Title"/>
    <w:qFormat/>
    <w:rPr>
      <w:b w:val="0"/>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_rels/settings.xml.rels><?xml version="1.0" encoding="UTF-8" ?><Relationships xmlns="http://schemas.openxmlformats.org/package/2006/relationships"><Relationship TargetMode="External" Target="file:///C:\Program%20Files\Microsoft%20Office\Templates\Sidley\Blank.dotx"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DOCID">
    <vt:lpwstr>ACTIVE 211797487v.10</vt:lpwstr>
  </property>
</Properties>
</file>